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6A" w:rsidRDefault="00611E6A" w:rsidP="00611E6A">
      <w:pPr>
        <w:pStyle w:val="Web"/>
        <w:spacing w:line="360" w:lineRule="auto"/>
        <w:jc w:val="both"/>
        <w:textAlignment w:val="baseline"/>
        <w:rPr>
          <w:b/>
          <w:sz w:val="28"/>
          <w:szCs w:val="28"/>
        </w:rPr>
      </w:pPr>
      <w:r w:rsidRPr="00EB346F">
        <w:rPr>
          <w:b/>
          <w:sz w:val="28"/>
          <w:szCs w:val="28"/>
        </w:rPr>
        <w:t>Εκπαιδευτικές δυνατότητες των κόμικς</w:t>
      </w:r>
    </w:p>
    <w:p w:rsidR="00611E6A" w:rsidRDefault="00611E6A" w:rsidP="00611E6A">
      <w:pPr>
        <w:pStyle w:val="Web"/>
        <w:spacing w:line="360" w:lineRule="auto"/>
        <w:ind w:firstLine="360"/>
        <w:jc w:val="both"/>
        <w:textAlignment w:val="baseline"/>
      </w:pPr>
      <w:r>
        <w:t>Τα κόμικς αποτελούν ένα πολύτιμο εργαλείο στα χέρια του εκπαιδευτικού, το οποίο καλλιεργεί γνωστικά τους μαθητές με διασκεδαστικό τρόπο, και παράλληλα τους ψυχαγωγεί. Σύμφωνα</w:t>
      </w:r>
      <w:r w:rsidRPr="00257026">
        <w:t xml:space="preserve"> </w:t>
      </w:r>
      <w:r>
        <w:t>με</w:t>
      </w:r>
      <w:r w:rsidRPr="00257026">
        <w:t xml:space="preserve"> </w:t>
      </w:r>
      <w:r>
        <w:t>τον</w:t>
      </w:r>
      <w:r w:rsidRPr="00257026">
        <w:t xml:space="preserve"> </w:t>
      </w:r>
      <w:r w:rsidRPr="00257026">
        <w:rPr>
          <w:lang w:val="en-US"/>
        </w:rPr>
        <w:t>Yang</w:t>
      </w:r>
      <w:r w:rsidRPr="00257026">
        <w:t xml:space="preserve"> (2003), </w:t>
      </w:r>
      <w:r>
        <w:t xml:space="preserve">τα κυριότερα χαρακτηριστικά- δυνατότητες, που αυτά προσφέρουν στη διαδικασία μάθησης, συνοψίζονται ως ακολούθως: </w:t>
      </w:r>
    </w:p>
    <w:p w:rsidR="00611E6A" w:rsidRPr="00333B82" w:rsidRDefault="00611E6A" w:rsidP="00611E6A">
      <w:pPr>
        <w:pStyle w:val="Web"/>
        <w:numPr>
          <w:ilvl w:val="0"/>
          <w:numId w:val="1"/>
        </w:numPr>
        <w:spacing w:line="360" w:lineRule="auto"/>
        <w:jc w:val="both"/>
        <w:textAlignment w:val="baseline"/>
        <w:rPr>
          <w:b/>
        </w:rPr>
      </w:pPr>
      <w:r w:rsidRPr="00257026">
        <w:rPr>
          <w:b/>
        </w:rPr>
        <w:t>Κίνητρα</w:t>
      </w:r>
      <w:r w:rsidRPr="00333B82">
        <w:rPr>
          <w:b/>
        </w:rPr>
        <w:t xml:space="preserve"> </w:t>
      </w:r>
      <w:r w:rsidRPr="00257026">
        <w:rPr>
          <w:b/>
        </w:rPr>
        <w:t>και</w:t>
      </w:r>
      <w:r w:rsidRPr="00333B82">
        <w:rPr>
          <w:b/>
        </w:rPr>
        <w:t xml:space="preserve"> </w:t>
      </w:r>
      <w:r w:rsidRPr="00257026">
        <w:rPr>
          <w:b/>
        </w:rPr>
        <w:t>δραστηριοποίηση</w:t>
      </w:r>
      <w:r w:rsidRPr="00333B82">
        <w:rPr>
          <w:b/>
        </w:rPr>
        <w:t xml:space="preserve">: </w:t>
      </w:r>
      <w:r w:rsidRPr="00333B82">
        <w:t>Σύμφωνα με τον</w:t>
      </w:r>
      <w:r w:rsidRPr="00333B82">
        <w:rPr>
          <w:b/>
        </w:rPr>
        <w:t xml:space="preserve"> </w:t>
      </w:r>
      <w:proofErr w:type="spellStart"/>
      <w:r w:rsidRPr="00333B82">
        <w:rPr>
          <w:lang w:val="en-US"/>
        </w:rPr>
        <w:t>Alongi</w:t>
      </w:r>
      <w:proofErr w:type="spellEnd"/>
      <w:r w:rsidRPr="00333B82">
        <w:t xml:space="preserve"> (1974), </w:t>
      </w:r>
      <w:r>
        <w:t xml:space="preserve">τα κόμικς αφυπνίζουν, ενεργοποιούν και παρακινούν τους μαθητές να συμμετέχουν στην εκπαιδευτική διαδικασία, κι αυτό γιατί σύμφωνα με τον </w:t>
      </w:r>
      <w:r>
        <w:rPr>
          <w:lang w:val="en-US"/>
        </w:rPr>
        <w:t>S</w:t>
      </w:r>
      <w:r>
        <w:t>ο</w:t>
      </w:r>
      <w:proofErr w:type="spellStart"/>
      <w:r>
        <w:rPr>
          <w:lang w:val="en-US"/>
        </w:rPr>
        <w:t>nes</w:t>
      </w:r>
      <w:proofErr w:type="spellEnd"/>
      <w:r w:rsidRPr="004577FF">
        <w:t xml:space="preserve"> (1944), </w:t>
      </w:r>
      <w:r>
        <w:t>τα παιδιά έχουν μια φυσική έλξη στα κόμικς.</w:t>
      </w:r>
      <w:r w:rsidRPr="004577FF">
        <w:t xml:space="preserve"> </w:t>
      </w:r>
    </w:p>
    <w:p w:rsidR="00611E6A" w:rsidRPr="00257026" w:rsidRDefault="00611E6A" w:rsidP="00611E6A">
      <w:pPr>
        <w:pStyle w:val="Web"/>
        <w:numPr>
          <w:ilvl w:val="0"/>
          <w:numId w:val="1"/>
        </w:numPr>
        <w:spacing w:line="360" w:lineRule="auto"/>
        <w:jc w:val="both"/>
        <w:textAlignment w:val="baseline"/>
        <w:rPr>
          <w:b/>
        </w:rPr>
      </w:pPr>
      <w:r w:rsidRPr="00257026">
        <w:rPr>
          <w:b/>
        </w:rPr>
        <w:t>Αποδοχή:</w:t>
      </w:r>
      <w:r w:rsidRPr="003217FF">
        <w:rPr>
          <w:b/>
        </w:rPr>
        <w:t xml:space="preserve"> </w:t>
      </w:r>
      <w:r w:rsidRPr="00112F31">
        <w:t>Σύμφωνα με τον</w:t>
      </w:r>
      <w:r>
        <w:rPr>
          <w:b/>
        </w:rPr>
        <w:t xml:space="preserve"> </w:t>
      </w:r>
      <w:r w:rsidRPr="00257026">
        <w:rPr>
          <w:lang w:val="en-US"/>
        </w:rPr>
        <w:t>Yang</w:t>
      </w:r>
      <w:r w:rsidRPr="00257026">
        <w:t xml:space="preserve"> (2003),</w:t>
      </w:r>
      <w:r w:rsidRPr="003217FF">
        <w:t xml:space="preserve"> </w:t>
      </w:r>
      <w:r>
        <w:t xml:space="preserve">από τη στιγμή που τα κόμικς αποτελούν αναπόσπαστο κομμάτι του κοινωνικού πλαισίου στο οποίο μεγαλώνουν τα παιδιά, είναι ιδιαίτερα εξοικειωμένα με το συγκεκριμένο </w:t>
      </w:r>
      <w:proofErr w:type="spellStart"/>
      <w:r>
        <w:t>κειμενικό</w:t>
      </w:r>
      <w:proofErr w:type="spellEnd"/>
      <w:r>
        <w:t xml:space="preserve"> είδος.</w:t>
      </w:r>
    </w:p>
    <w:p w:rsidR="00611E6A" w:rsidRPr="00257026" w:rsidRDefault="00611E6A" w:rsidP="00611E6A">
      <w:pPr>
        <w:pStyle w:val="Web"/>
        <w:numPr>
          <w:ilvl w:val="0"/>
          <w:numId w:val="1"/>
        </w:numPr>
        <w:spacing w:line="360" w:lineRule="auto"/>
        <w:jc w:val="both"/>
        <w:textAlignment w:val="baseline"/>
        <w:rPr>
          <w:b/>
        </w:rPr>
      </w:pPr>
      <w:r w:rsidRPr="00257026">
        <w:rPr>
          <w:b/>
        </w:rPr>
        <w:t>Μονιμότητα:</w:t>
      </w:r>
      <w:r>
        <w:rPr>
          <w:b/>
        </w:rPr>
        <w:t xml:space="preserve"> </w:t>
      </w:r>
      <w:r w:rsidRPr="004E3161">
        <w:t xml:space="preserve">Σύμφωνα με τον </w:t>
      </w:r>
      <w:r w:rsidRPr="004E3161">
        <w:rPr>
          <w:lang w:val="en-US"/>
        </w:rPr>
        <w:t>Williams</w:t>
      </w:r>
      <w:r w:rsidRPr="004E3161">
        <w:t xml:space="preserve"> (1995),</w:t>
      </w:r>
      <w:r w:rsidRPr="004E3161">
        <w:rPr>
          <w:b/>
        </w:rPr>
        <w:t xml:space="preserve"> </w:t>
      </w:r>
      <w:r>
        <w:t>ένας από τους σημαντικότερους λόγους, που χρησιμοποιούνται τα κόμικς στην εκπαίδευσης, είναι η οπτική μονιμότητα, που αυτά προσφέρουν, γεγονός που δίνει τη δυνατότητα ελέγχου της ροής και του ρυθμού μάθησης.</w:t>
      </w:r>
    </w:p>
    <w:p w:rsidR="00611E6A" w:rsidRPr="00257026" w:rsidRDefault="00611E6A" w:rsidP="00611E6A">
      <w:pPr>
        <w:pStyle w:val="Web"/>
        <w:numPr>
          <w:ilvl w:val="0"/>
          <w:numId w:val="1"/>
        </w:numPr>
        <w:spacing w:line="360" w:lineRule="auto"/>
        <w:jc w:val="both"/>
        <w:textAlignment w:val="baseline"/>
      </w:pPr>
      <w:r w:rsidRPr="00257026">
        <w:rPr>
          <w:b/>
        </w:rPr>
        <w:t>Εποπτεία:</w:t>
      </w:r>
      <w:r>
        <w:rPr>
          <w:b/>
        </w:rPr>
        <w:t xml:space="preserve"> </w:t>
      </w:r>
      <w:r w:rsidRPr="00112F31">
        <w:t xml:space="preserve">Σύμφωνα με τον </w:t>
      </w:r>
      <w:proofErr w:type="spellStart"/>
      <w:r w:rsidRPr="00112F31">
        <w:rPr>
          <w:lang w:val="en-US"/>
        </w:rPr>
        <w:t>Versaci</w:t>
      </w:r>
      <w:proofErr w:type="spellEnd"/>
      <w:r w:rsidRPr="00112F31">
        <w:t xml:space="preserve"> (2001)</w:t>
      </w:r>
      <w:r>
        <w:t>, σε ένα κόμικς, η ιστορία εκτυλίσσεται μέσα από τις εικόνες και το κείμενο. Είναι ισχυρή η αλληλεπίδραση γραπτού και εικόνας, και ο μαθητής ταυτίζεται συναισθηματικά με τους χαρακτήρες της ιστορίας.</w:t>
      </w:r>
    </w:p>
    <w:p w:rsidR="00611E6A" w:rsidRPr="00257026" w:rsidRDefault="00611E6A" w:rsidP="00611E6A">
      <w:pPr>
        <w:pStyle w:val="Web"/>
        <w:numPr>
          <w:ilvl w:val="0"/>
          <w:numId w:val="1"/>
        </w:numPr>
        <w:spacing w:line="360" w:lineRule="auto"/>
        <w:jc w:val="both"/>
        <w:textAlignment w:val="baseline"/>
      </w:pPr>
      <w:r>
        <w:rPr>
          <w:b/>
        </w:rPr>
        <w:t>Δημοτικότητα</w:t>
      </w:r>
      <w:r w:rsidRPr="00333B82">
        <w:rPr>
          <w:b/>
        </w:rPr>
        <w:t xml:space="preserve">: </w:t>
      </w:r>
      <w:r>
        <w:t xml:space="preserve"> Σύμφωνα με τον </w:t>
      </w:r>
      <w:r w:rsidRPr="00333B82">
        <w:rPr>
          <w:lang w:val="en-US"/>
        </w:rPr>
        <w:t>Hutchinson</w:t>
      </w:r>
      <w:r w:rsidRPr="00333B82">
        <w:t xml:space="preserve"> (1949),</w:t>
      </w:r>
      <w:r w:rsidRPr="00333B82">
        <w:rPr>
          <w:b/>
        </w:rPr>
        <w:t xml:space="preserve"> </w:t>
      </w:r>
      <w:r>
        <w:t>τα κόμικς αποτελώντας σημαντικό στοιχείο της λαϊκής κουλτούρας, είναι ένα ιδιαιτέρως αγαπητό εργαλείο μάθησης για τα παιδιά, προτού καν αυτά ξεκινήσουν τη σχολική τους ζωή.</w:t>
      </w:r>
    </w:p>
    <w:p w:rsidR="00611E6A" w:rsidRPr="00257026" w:rsidRDefault="00611E6A" w:rsidP="00611E6A">
      <w:pPr>
        <w:pStyle w:val="Web"/>
        <w:numPr>
          <w:ilvl w:val="0"/>
          <w:numId w:val="1"/>
        </w:numPr>
        <w:spacing w:line="360" w:lineRule="auto"/>
        <w:jc w:val="both"/>
        <w:textAlignment w:val="baseline"/>
      </w:pPr>
      <w:r>
        <w:rPr>
          <w:b/>
        </w:rPr>
        <w:t xml:space="preserve">Διαμεσολαβητικός ρόλος: </w:t>
      </w:r>
      <w:r w:rsidRPr="00112F31">
        <w:t>Σύμφωνα με τον</w:t>
      </w:r>
      <w:r>
        <w:rPr>
          <w:b/>
        </w:rPr>
        <w:t xml:space="preserve"> </w:t>
      </w:r>
      <w:r w:rsidRPr="00257026">
        <w:rPr>
          <w:lang w:val="en-US"/>
        </w:rPr>
        <w:t>Yang</w:t>
      </w:r>
      <w:r w:rsidRPr="00257026">
        <w:t xml:space="preserve"> (2003),</w:t>
      </w:r>
      <w:r>
        <w:t xml:space="preserve"> ο ρόλος των κόμικς είναι διαμεσολαβητικός, διότι λειτουργούν ως σκαλοπάτι στη διαδικασία μάθησης, και ευνοούν την ομαλή  μετάβαση στις δυσκολότερες έννοιες.</w:t>
      </w:r>
    </w:p>
    <w:p w:rsidR="00157D90" w:rsidRDefault="00611E6A" w:rsidP="00611E6A">
      <w:pPr>
        <w:pStyle w:val="Web"/>
        <w:numPr>
          <w:ilvl w:val="0"/>
          <w:numId w:val="1"/>
        </w:numPr>
        <w:spacing w:line="360" w:lineRule="auto"/>
        <w:jc w:val="both"/>
        <w:textAlignment w:val="baseline"/>
      </w:pPr>
      <w:r>
        <w:rPr>
          <w:b/>
        </w:rPr>
        <w:t>Καλλιέργεια</w:t>
      </w:r>
      <w:r w:rsidRPr="00112F31">
        <w:rPr>
          <w:b/>
        </w:rPr>
        <w:t xml:space="preserve"> </w:t>
      </w:r>
      <w:r>
        <w:rPr>
          <w:b/>
        </w:rPr>
        <w:t>κρίσης</w:t>
      </w:r>
      <w:r w:rsidRPr="00112F31">
        <w:rPr>
          <w:b/>
        </w:rPr>
        <w:t xml:space="preserve"> </w:t>
      </w:r>
      <w:r>
        <w:rPr>
          <w:b/>
        </w:rPr>
        <w:t>και</w:t>
      </w:r>
      <w:r w:rsidRPr="00112F31">
        <w:rPr>
          <w:b/>
        </w:rPr>
        <w:t xml:space="preserve"> </w:t>
      </w:r>
      <w:r>
        <w:rPr>
          <w:b/>
        </w:rPr>
        <w:t>αναλυτικής</w:t>
      </w:r>
      <w:r w:rsidRPr="00112F31">
        <w:rPr>
          <w:b/>
        </w:rPr>
        <w:t xml:space="preserve"> </w:t>
      </w:r>
      <w:r>
        <w:rPr>
          <w:b/>
        </w:rPr>
        <w:t>σκέψης</w:t>
      </w:r>
      <w:r w:rsidRPr="00112F31">
        <w:rPr>
          <w:b/>
        </w:rPr>
        <w:t xml:space="preserve">: </w:t>
      </w:r>
      <w:r w:rsidRPr="00112F31">
        <w:t xml:space="preserve">Σύμφωνα με τον </w:t>
      </w:r>
      <w:proofErr w:type="spellStart"/>
      <w:r w:rsidRPr="00112F31">
        <w:rPr>
          <w:lang w:val="en-US"/>
        </w:rPr>
        <w:t>Versaci</w:t>
      </w:r>
      <w:proofErr w:type="spellEnd"/>
      <w:r w:rsidRPr="00112F31">
        <w:t xml:space="preserve"> (2001),</w:t>
      </w:r>
      <w:r w:rsidRPr="00112F31">
        <w:rPr>
          <w:b/>
        </w:rPr>
        <w:t xml:space="preserve"> </w:t>
      </w:r>
      <w:r w:rsidRPr="00112F31">
        <w:t xml:space="preserve">μέσα από τα κόμικς οι μαθητές απαντώντας σε ερωτήματα </w:t>
      </w:r>
      <w:r>
        <w:t xml:space="preserve">σχετικά </w:t>
      </w:r>
      <w:r w:rsidRPr="00112F31">
        <w:t>με τη</w:t>
      </w:r>
      <w:r>
        <w:t>ν</w:t>
      </w:r>
      <w:r w:rsidRPr="00112F31">
        <w:t xml:space="preserve"> </w:t>
      </w:r>
      <w:r>
        <w:t xml:space="preserve">ιστορία, εξοικειώνονται με μέσα έκφρασης, όπως είναι η </w:t>
      </w:r>
      <w:r w:rsidRPr="00112F31">
        <w:t>εικόνα και</w:t>
      </w:r>
      <w:r>
        <w:t xml:space="preserve"> το</w:t>
      </w:r>
      <w:r w:rsidRPr="00112F31">
        <w:t xml:space="preserve"> </w:t>
      </w:r>
      <w:r>
        <w:t xml:space="preserve">κείμενο, επεξεργάζονται βαθύτερα νοήματα και </w:t>
      </w:r>
      <w:proofErr w:type="spellStart"/>
      <w:r>
        <w:t>ενδοσκοπούν</w:t>
      </w:r>
      <w:proofErr w:type="spellEnd"/>
      <w:r>
        <w:t xml:space="preserve">.  </w:t>
      </w:r>
    </w:p>
    <w:sectPr w:rsidR="00157D90" w:rsidSect="00157D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E0D69"/>
    <w:multiLevelType w:val="hybridMultilevel"/>
    <w:tmpl w:val="74067E80"/>
    <w:lvl w:ilvl="0" w:tplc="DA5C783A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611E6A"/>
    <w:rsid w:val="00157D90"/>
    <w:rsid w:val="0061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1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1696</Characters>
  <Application>Microsoft Office Word</Application>
  <DocSecurity>0</DocSecurity>
  <Lines>14</Lines>
  <Paragraphs>4</Paragraphs>
  <ScaleCrop>false</ScaleCrop>
  <Company>Hewlett-Packard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2015-02-08T13:23:00Z</dcterms:created>
  <dcterms:modified xsi:type="dcterms:W3CDTF">2015-02-08T13:23:00Z</dcterms:modified>
</cp:coreProperties>
</file>